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515"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0050"/>
        <w:gridCol w:w="465"/>
      </w:tblGrid>
      <w:tr w:rsidR="0033272E" w:rsidRPr="0033272E" w:rsidTr="0033272E">
        <w:trPr>
          <w:tblCellSpacing w:w="15" w:type="dxa"/>
        </w:trPr>
        <w:tc>
          <w:tcPr>
            <w:tcW w:w="5000" w:type="pct"/>
            <w:shd w:val="clear" w:color="auto" w:fill="FFFFFF"/>
            <w:vAlign w:val="center"/>
            <w:hideMark/>
          </w:tcPr>
          <w:p w:rsidR="0033272E" w:rsidRPr="0033272E" w:rsidRDefault="0033272E" w:rsidP="0033272E">
            <w:pPr>
              <w:spacing w:after="75" w:line="360" w:lineRule="atLeast"/>
              <w:rPr>
                <w:rFonts w:ascii="Arial" w:eastAsia="Times New Roman" w:hAnsi="Arial" w:cs="Arial"/>
                <w:b/>
                <w:bCs/>
                <w:caps/>
                <w:color w:val="996600"/>
                <w:sz w:val="21"/>
                <w:szCs w:val="21"/>
                <w:lang w:eastAsia="ru-RU"/>
              </w:rPr>
            </w:pPr>
            <w:bookmarkStart w:id="0" w:name="_GoBack"/>
            <w:bookmarkEnd w:id="0"/>
            <w:r w:rsidRPr="0033272E">
              <w:rPr>
                <w:rFonts w:ascii="Arial" w:eastAsia="Times New Roman" w:hAnsi="Arial" w:cs="Arial"/>
                <w:b/>
                <w:bCs/>
                <w:caps/>
                <w:color w:val="996600"/>
                <w:sz w:val="21"/>
                <w:szCs w:val="21"/>
                <w:lang w:eastAsia="ru-RU"/>
              </w:rPr>
              <w:t>«ВОЗВРАТ ТОВАРА НАДЛЕЖАЩЕГО КАЧЕСТВА»</w:t>
            </w:r>
          </w:p>
        </w:tc>
        <w:tc>
          <w:tcPr>
            <w:tcW w:w="5000" w:type="pct"/>
            <w:shd w:val="clear" w:color="auto" w:fill="FFFFFF"/>
            <w:vAlign w:val="center"/>
            <w:hideMark/>
          </w:tcPr>
          <w:p w:rsidR="0033272E" w:rsidRPr="0033272E" w:rsidRDefault="0033272E" w:rsidP="0033272E">
            <w:pPr>
              <w:spacing w:after="75" w:line="240" w:lineRule="auto"/>
              <w:jc w:val="right"/>
              <w:rPr>
                <w:rFonts w:ascii="Arial" w:eastAsia="Times New Roman" w:hAnsi="Arial" w:cs="Arial"/>
                <w:color w:val="996600"/>
                <w:sz w:val="18"/>
                <w:szCs w:val="18"/>
                <w:lang w:eastAsia="ru-RU"/>
              </w:rPr>
            </w:pPr>
            <w:r>
              <w:rPr>
                <w:rFonts w:ascii="Arial" w:eastAsia="Times New Roman" w:hAnsi="Arial" w:cs="Arial"/>
                <w:b/>
                <w:bCs/>
                <w:noProof/>
                <w:color w:val="CC9900"/>
                <w:sz w:val="17"/>
                <w:szCs w:val="17"/>
                <w:lang w:val="en-US"/>
              </w:rPr>
              <w:drawing>
                <wp:inline distT="0" distB="0" distL="0" distR="0">
                  <wp:extent cx="152400" cy="152400"/>
                  <wp:effectExtent l="19050" t="0" r="0" b="0"/>
                  <wp:docPr id="3" name="Рисунок 3" descr="Версия для печати">
                    <a:hlinkClick xmlns:a="http://schemas.openxmlformats.org/drawingml/2006/main" r:id="rId5" tgtFrame="&quot;_blank&quot;"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ерсия для печати">
                            <a:hlinkClick r:id="rId5" tgtFrame="&quot;_blank&quot;" tooltip="&quot;Версия для печати&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3272E" w:rsidRPr="0033272E" w:rsidRDefault="0033272E" w:rsidP="0033272E">
      <w:pPr>
        <w:spacing w:after="0" w:line="240" w:lineRule="auto"/>
        <w:rPr>
          <w:rFonts w:ascii="Times New Roman" w:eastAsia="Times New Roman" w:hAnsi="Times New Roman" w:cs="Times New Roman"/>
          <w:vanish/>
          <w:sz w:val="24"/>
          <w:szCs w:val="24"/>
          <w:lang w:eastAsia="ru-RU"/>
        </w:rPr>
      </w:pPr>
    </w:p>
    <w:tbl>
      <w:tblPr>
        <w:tblW w:w="10515"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0515"/>
      </w:tblGrid>
      <w:tr w:rsidR="0033272E" w:rsidRPr="0033272E" w:rsidTr="0033272E">
        <w:trPr>
          <w:tblCellSpacing w:w="15" w:type="dxa"/>
        </w:trPr>
        <w:tc>
          <w:tcPr>
            <w:tcW w:w="0" w:type="auto"/>
            <w:shd w:val="clear" w:color="auto" w:fill="FFFFFF"/>
            <w:hideMark/>
          </w:tcPr>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 xml:space="preserve">В соответствии со статьей 28 Закона Республики Беларусь от 9 января 2002 года «О защите прав </w:t>
            </w:r>
            <w:proofErr w:type="gramStart"/>
            <w:r w:rsidRPr="0033272E">
              <w:rPr>
                <w:rFonts w:ascii="Arial" w:eastAsia="Times New Roman" w:hAnsi="Arial" w:cs="Arial"/>
                <w:color w:val="996600"/>
                <w:sz w:val="18"/>
                <w:szCs w:val="18"/>
                <w:lang w:eastAsia="ru-RU"/>
              </w:rPr>
              <w:t>потребителей»</w:t>
            </w:r>
            <w:r w:rsidRPr="0033272E">
              <w:rPr>
                <w:rFonts w:ascii="Arial" w:eastAsia="Times New Roman" w:hAnsi="Arial" w:cs="Arial"/>
                <w:b/>
                <w:bCs/>
                <w:color w:val="996600"/>
                <w:sz w:val="18"/>
                <w:szCs w:val="18"/>
                <w:lang w:eastAsia="ru-RU"/>
              </w:rPr>
              <w:t>потребитель</w:t>
            </w:r>
            <w:proofErr w:type="gramEnd"/>
            <w:r w:rsidRPr="0033272E">
              <w:rPr>
                <w:rFonts w:ascii="Arial" w:eastAsia="Times New Roman" w:hAnsi="Arial" w:cs="Arial"/>
                <w:b/>
                <w:bCs/>
                <w:color w:val="996600"/>
                <w:sz w:val="18"/>
                <w:szCs w:val="18"/>
                <w:lang w:eastAsia="ru-RU"/>
              </w:rPr>
              <w:t xml:space="preserve"> вправе</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в течение 14 дней с момента передачи ему непродовольственного товара, в месте приобретения или иных местах, объявленных продавцом предъявить одно из перечисленных требований:</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1)</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возвратить</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товар надлежащего качества.</w:t>
            </w:r>
            <w:r w:rsidRPr="0033272E">
              <w:rPr>
                <w:rFonts w:ascii="Arial" w:eastAsia="Times New Roman" w:hAnsi="Arial" w:cs="Arial"/>
                <w:b/>
                <w:bCs/>
                <w:color w:val="996600"/>
                <w:sz w:val="18"/>
                <w:lang w:eastAsia="ru-RU"/>
              </w:rPr>
              <w:t> </w:t>
            </w:r>
            <w:r w:rsidRPr="0033272E">
              <w:rPr>
                <w:rFonts w:ascii="Arial" w:eastAsia="Times New Roman" w:hAnsi="Arial" w:cs="Arial"/>
                <w:color w:val="996600"/>
                <w:sz w:val="18"/>
                <w:szCs w:val="18"/>
                <w:lang w:eastAsia="ru-RU"/>
              </w:rPr>
              <w:t>При это в соответствии с пунктом 4 статьи 28 Закона при возврате потребителем товара надлежащего качества его требование о возврате уплаченной за товар денежной суммы</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подлежит удовлетворению</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продавцом</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незамедлительно</w:t>
            </w:r>
            <w:r w:rsidRPr="0033272E">
              <w:rPr>
                <w:rFonts w:ascii="Arial" w:eastAsia="Times New Roman" w:hAnsi="Arial" w:cs="Arial"/>
                <w:color w:val="996600"/>
                <w:sz w:val="18"/>
                <w:szCs w:val="18"/>
                <w:lang w:eastAsia="ru-RU"/>
              </w:rPr>
              <w:t>. В случае,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2) обменять его на аналогичный товар других размера, формы, габарита, фасона, расцветки или комплектации, произведя в</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случае разницы в</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цене необходимый</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lang w:eastAsia="ru-RU"/>
              </w:rPr>
              <w:t>перерасчет</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с продавцом.</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Таким образом, в случае возврата потребителем товара надлежащего качества в установленные сроки и порядке, ему должна быть возвращена уплаченная за товар денежная сумма. Изъятий из данного требования законодательство не содержит.</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Однако некоторые интернет магазины на своих сайтах размещают информацию: «… Доставка товара – бесплатно» … «при возврате товара надлежащего качества, деньги возвращаются за минусом фактических затрат продавца, но</w:t>
            </w:r>
            <w:r w:rsidRPr="0033272E">
              <w:rPr>
                <w:rFonts w:ascii="Arial" w:eastAsia="Times New Roman" w:hAnsi="Arial" w:cs="Arial"/>
                <w:color w:val="996600"/>
                <w:sz w:val="18"/>
                <w:lang w:eastAsia="ru-RU"/>
              </w:rPr>
              <w:t> </w:t>
            </w:r>
            <w:r w:rsidRPr="0033272E">
              <w:rPr>
                <w:rFonts w:ascii="Arial" w:eastAsia="Times New Roman" w:hAnsi="Arial" w:cs="Arial"/>
                <w:i/>
                <w:iCs/>
                <w:color w:val="996600"/>
                <w:sz w:val="18"/>
                <w:szCs w:val="18"/>
                <w:lang w:eastAsia="ru-RU"/>
              </w:rPr>
              <w:t>не менее 70 000 белорусских рублей…</w:t>
            </w:r>
            <w:r w:rsidRPr="0033272E">
              <w:rPr>
                <w:rFonts w:ascii="Arial" w:eastAsia="Times New Roman" w:hAnsi="Arial" w:cs="Arial"/>
                <w:i/>
                <w:iCs/>
                <w:color w:val="996600"/>
                <w:sz w:val="18"/>
                <w:lang w:eastAsia="ru-RU"/>
              </w:rPr>
              <w:t> </w:t>
            </w:r>
            <w:r w:rsidRPr="0033272E">
              <w:rPr>
                <w:rFonts w:ascii="Arial" w:eastAsia="Times New Roman" w:hAnsi="Arial" w:cs="Arial"/>
                <w:color w:val="996600"/>
                <w:sz w:val="18"/>
                <w:szCs w:val="18"/>
                <w:lang w:eastAsia="ru-RU"/>
              </w:rPr>
              <w:t>», «…В случае, если деталь подобрана верно,</w:t>
            </w:r>
            <w:r w:rsidRPr="0033272E">
              <w:rPr>
                <w:rFonts w:ascii="Arial" w:eastAsia="Times New Roman" w:hAnsi="Arial" w:cs="Arial"/>
                <w:color w:val="996600"/>
                <w:sz w:val="18"/>
                <w:lang w:eastAsia="ru-RU"/>
              </w:rPr>
              <w:t> </w:t>
            </w:r>
            <w:r w:rsidRPr="0033272E">
              <w:rPr>
                <w:rFonts w:ascii="Arial" w:eastAsia="Times New Roman" w:hAnsi="Arial" w:cs="Arial"/>
                <w:i/>
                <w:iCs/>
                <w:color w:val="996600"/>
                <w:sz w:val="18"/>
                <w:szCs w:val="18"/>
                <w:lang w:eastAsia="ru-RU"/>
              </w:rPr>
              <w:t>возврат принимается за минусом 30 % стоимости детали</w:t>
            </w:r>
            <w:r w:rsidRPr="0033272E">
              <w:rPr>
                <w:rFonts w:ascii="Arial" w:eastAsia="Times New Roman" w:hAnsi="Arial" w:cs="Arial"/>
                <w:color w:val="996600"/>
                <w:sz w:val="18"/>
                <w:szCs w:val="18"/>
                <w:lang w:eastAsia="ru-RU"/>
              </w:rPr>
              <w:t>…» и т.п.</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Такая информация является недостоверной и вводит потребителей в заблуждение. Ее распространение должно быть прекращено.</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i/>
                <w:iCs/>
                <w:color w:val="996600"/>
                <w:sz w:val="18"/>
                <w:szCs w:val="18"/>
                <w:lang w:eastAsia="ru-RU"/>
              </w:rPr>
              <w:t>Дополнительно информируем, что 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w:t>
            </w:r>
            <w:r w:rsidRPr="0033272E">
              <w:rPr>
                <w:rFonts w:ascii="Arial" w:eastAsia="Times New Roman" w:hAnsi="Arial" w:cs="Arial"/>
                <w:i/>
                <w:iCs/>
                <w:color w:val="996600"/>
                <w:sz w:val="18"/>
                <w:lang w:eastAsia="ru-RU"/>
              </w:rPr>
              <w:t> </w:t>
            </w:r>
            <w:r w:rsidRPr="0033272E">
              <w:rPr>
                <w:rFonts w:ascii="Arial" w:eastAsia="Times New Roman" w:hAnsi="Arial" w:cs="Arial"/>
                <w:b/>
                <w:bCs/>
                <w:i/>
                <w:iCs/>
                <w:color w:val="996600"/>
                <w:sz w:val="18"/>
                <w:szCs w:val="18"/>
                <w:lang w:eastAsia="ru-RU"/>
              </w:rPr>
              <w:t>без возмещения продавцу расходов, связанных с доставкой такого товара</w:t>
            </w:r>
            <w:r w:rsidRPr="0033272E">
              <w:rPr>
                <w:rFonts w:ascii="Arial" w:eastAsia="Times New Roman" w:hAnsi="Arial" w:cs="Arial"/>
                <w:i/>
                <w:iCs/>
                <w:color w:val="996600"/>
                <w:sz w:val="18"/>
                <w:szCs w:val="18"/>
                <w:lang w:eastAsia="ru-RU"/>
              </w:rPr>
              <w:t>.</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i/>
                <w:iCs/>
                <w:color w:val="996600"/>
                <w:sz w:val="18"/>
                <w:szCs w:val="18"/>
                <w:lang w:eastAsia="ru-RU"/>
              </w:rPr>
              <w:t>Кроме того, потребитель вправе отказаться от осуществления покупки, в случае, если ему был доставлен товар не соответствующий заказу, либо не были представлены документы на товар (отсутствовала инструкция об эксплуатации товара на русском, белорусском языке), не выдали чек за товар)</w:t>
            </w:r>
            <w:r w:rsidRPr="0033272E">
              <w:rPr>
                <w:rFonts w:ascii="Arial" w:eastAsia="Times New Roman" w:hAnsi="Arial" w:cs="Arial"/>
                <w:i/>
                <w:iCs/>
                <w:color w:val="996600"/>
                <w:sz w:val="18"/>
                <w:lang w:eastAsia="ru-RU"/>
              </w:rPr>
              <w:t> </w:t>
            </w:r>
            <w:r w:rsidRPr="0033272E">
              <w:rPr>
                <w:rFonts w:ascii="Arial" w:eastAsia="Times New Roman" w:hAnsi="Arial" w:cs="Arial"/>
                <w:b/>
                <w:bCs/>
                <w:i/>
                <w:iCs/>
                <w:color w:val="996600"/>
                <w:sz w:val="18"/>
                <w:szCs w:val="18"/>
                <w:lang w:eastAsia="ru-RU"/>
              </w:rPr>
              <w:t>без возмещения продавцу расходов, связанных с доставкой такого товара</w:t>
            </w:r>
            <w:r w:rsidRPr="0033272E">
              <w:rPr>
                <w:rFonts w:ascii="Arial" w:eastAsia="Times New Roman" w:hAnsi="Arial" w:cs="Arial"/>
                <w:i/>
                <w:iCs/>
                <w:color w:val="996600"/>
                <w:sz w:val="18"/>
                <w:szCs w:val="18"/>
                <w:lang w:eastAsia="ru-RU"/>
              </w:rPr>
              <w:t>.</w:t>
            </w:r>
          </w:p>
        </w:tc>
      </w:tr>
    </w:tbl>
    <w:p w:rsidR="0033272E" w:rsidRDefault="0033272E"/>
    <w:tbl>
      <w:tblPr>
        <w:tblW w:w="1068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0214"/>
        <w:gridCol w:w="466"/>
      </w:tblGrid>
      <w:tr w:rsidR="0033272E" w:rsidRPr="0033272E" w:rsidTr="0033272E">
        <w:trPr>
          <w:tblCellSpacing w:w="15" w:type="dxa"/>
        </w:trPr>
        <w:tc>
          <w:tcPr>
            <w:tcW w:w="4761" w:type="pct"/>
            <w:shd w:val="clear" w:color="auto" w:fill="FFFFFF"/>
            <w:vAlign w:val="center"/>
            <w:hideMark/>
          </w:tcPr>
          <w:p w:rsidR="0033272E" w:rsidRPr="0033272E" w:rsidRDefault="0033272E" w:rsidP="0033272E">
            <w:pPr>
              <w:spacing w:after="75" w:line="360" w:lineRule="atLeast"/>
              <w:rPr>
                <w:rFonts w:ascii="Arial" w:eastAsia="Times New Roman" w:hAnsi="Arial" w:cs="Arial"/>
                <w:b/>
                <w:bCs/>
                <w:caps/>
                <w:color w:val="996600"/>
                <w:sz w:val="21"/>
                <w:szCs w:val="21"/>
                <w:lang w:eastAsia="ru-RU"/>
              </w:rPr>
            </w:pPr>
            <w:r w:rsidRPr="0033272E">
              <w:rPr>
                <w:rFonts w:ascii="Arial" w:eastAsia="Times New Roman" w:hAnsi="Arial" w:cs="Arial"/>
                <w:b/>
                <w:bCs/>
                <w:caps/>
                <w:color w:val="996600"/>
                <w:sz w:val="21"/>
                <w:szCs w:val="21"/>
                <w:lang w:eastAsia="ru-RU"/>
              </w:rPr>
              <w:t>ПОРЯДОК ВОЗВРАТА ДЕНЕЖНЫХ СРЕДСТВ ЗА НЕКАЧЕСТВЕННЫЙ ТОВАР</w:t>
            </w:r>
          </w:p>
        </w:tc>
        <w:tc>
          <w:tcPr>
            <w:tcW w:w="197" w:type="pct"/>
            <w:shd w:val="clear" w:color="auto" w:fill="FFFFFF"/>
            <w:vAlign w:val="center"/>
            <w:hideMark/>
          </w:tcPr>
          <w:p w:rsidR="0033272E" w:rsidRPr="0033272E" w:rsidRDefault="0033272E" w:rsidP="0033272E">
            <w:pPr>
              <w:spacing w:after="75" w:line="240" w:lineRule="auto"/>
              <w:jc w:val="right"/>
              <w:rPr>
                <w:rFonts w:ascii="Arial" w:eastAsia="Times New Roman" w:hAnsi="Arial" w:cs="Arial"/>
                <w:color w:val="996600"/>
                <w:sz w:val="18"/>
                <w:szCs w:val="18"/>
                <w:lang w:eastAsia="ru-RU"/>
              </w:rPr>
            </w:pPr>
            <w:r>
              <w:rPr>
                <w:rFonts w:ascii="Arial" w:eastAsia="Times New Roman" w:hAnsi="Arial" w:cs="Arial"/>
                <w:b/>
                <w:bCs/>
                <w:noProof/>
                <w:color w:val="CC9900"/>
                <w:sz w:val="17"/>
                <w:szCs w:val="17"/>
                <w:lang w:val="en-US"/>
              </w:rPr>
              <w:drawing>
                <wp:inline distT="0" distB="0" distL="0" distR="0">
                  <wp:extent cx="152400" cy="152400"/>
                  <wp:effectExtent l="19050" t="0" r="0" b="0"/>
                  <wp:docPr id="1" name="Рисунок 1" descr="Версия для печати">
                    <a:hlinkClick xmlns:a="http://schemas.openxmlformats.org/drawingml/2006/main" r:id="rId7" tgtFrame="&quot;_blank&quot;" tooltip="&quot;Версия для печат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рсия для печати">
                            <a:hlinkClick r:id="rId7" tgtFrame="&quot;_blank&quot;" tooltip="&quot;Версия для печати&quot;"/>
                          </pic:cNvPr>
                          <pic:cNvPicPr>
                            <a:picLocks noChangeAspect="1" noChangeArrowheads="1"/>
                          </pic:cNvPicPr>
                        </pic:nvPicPr>
                        <pic:blipFill>
                          <a:blip r:embed="rId6" cstate="print"/>
                          <a:srcRect/>
                          <a:stretch>
                            <a:fillRect/>
                          </a:stretch>
                        </pic:blipFill>
                        <pic:spPr bwMode="auto">
                          <a:xfrm>
                            <a:off x="0" y="0"/>
                            <a:ext cx="152400" cy="152400"/>
                          </a:xfrm>
                          <a:prstGeom prst="rect">
                            <a:avLst/>
                          </a:prstGeom>
                          <a:noFill/>
                          <a:ln w="9525">
                            <a:noFill/>
                            <a:miter lim="800000"/>
                            <a:headEnd/>
                            <a:tailEnd/>
                          </a:ln>
                        </pic:spPr>
                      </pic:pic>
                    </a:graphicData>
                  </a:graphic>
                </wp:inline>
              </w:drawing>
            </w:r>
          </w:p>
        </w:tc>
      </w:tr>
    </w:tbl>
    <w:p w:rsidR="0033272E" w:rsidRPr="0033272E" w:rsidRDefault="0033272E" w:rsidP="0033272E">
      <w:pPr>
        <w:spacing w:after="0" w:line="240" w:lineRule="auto"/>
        <w:rPr>
          <w:rFonts w:ascii="Times New Roman" w:eastAsia="Times New Roman" w:hAnsi="Times New Roman" w:cs="Times New Roman"/>
          <w:vanish/>
          <w:sz w:val="24"/>
          <w:szCs w:val="24"/>
          <w:lang w:eastAsia="ru-RU"/>
        </w:rPr>
      </w:pPr>
    </w:p>
    <w:tbl>
      <w:tblPr>
        <w:tblW w:w="10680" w:type="dxa"/>
        <w:tblCellSpacing w:w="15" w:type="dxa"/>
        <w:shd w:val="clear" w:color="auto" w:fill="FFFFFF"/>
        <w:tblCellMar>
          <w:top w:w="15" w:type="dxa"/>
          <w:left w:w="75" w:type="dxa"/>
          <w:bottom w:w="15" w:type="dxa"/>
          <w:right w:w="75" w:type="dxa"/>
        </w:tblCellMar>
        <w:tblLook w:val="04A0" w:firstRow="1" w:lastRow="0" w:firstColumn="1" w:lastColumn="0" w:noHBand="0" w:noVBand="1"/>
      </w:tblPr>
      <w:tblGrid>
        <w:gridCol w:w="10680"/>
      </w:tblGrid>
      <w:tr w:rsidR="0033272E" w:rsidRPr="0033272E" w:rsidTr="0033272E">
        <w:trPr>
          <w:tblCellSpacing w:w="15" w:type="dxa"/>
        </w:trPr>
        <w:tc>
          <w:tcPr>
            <w:tcW w:w="0" w:type="auto"/>
            <w:shd w:val="clear" w:color="auto" w:fill="FFFFFF"/>
            <w:hideMark/>
          </w:tcPr>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t>Вопрос:</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Какие требования вправе предъявить потребитель в случае выявления недостатков в товаре?</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t>Ответ:</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 соответствии с</w:t>
            </w:r>
            <w:r w:rsidRPr="0033272E">
              <w:rPr>
                <w:rFonts w:ascii="Arial" w:eastAsia="Times New Roman" w:hAnsi="Arial" w:cs="Arial"/>
                <w:color w:val="996600"/>
                <w:sz w:val="18"/>
                <w:lang w:eastAsia="ru-RU"/>
              </w:rPr>
              <w:t> </w:t>
            </w:r>
            <w:hyperlink r:id="rId8" w:tgtFrame="_blank" w:history="1">
              <w:r w:rsidRPr="0033272E">
                <w:rPr>
                  <w:rFonts w:ascii="Arial" w:eastAsia="Times New Roman" w:hAnsi="Arial" w:cs="Arial"/>
                  <w:b/>
                  <w:bCs/>
                  <w:color w:val="CC9900"/>
                  <w:sz w:val="17"/>
                  <w:lang w:eastAsia="ru-RU"/>
                </w:rPr>
                <w:t>Законом Республики Беларусь от 9 января 2002 года «О защите прав потребителей»</w:t>
              </w:r>
            </w:hyperlink>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(далее - Закон) продавец обязан передать потребителю при заключении договора купли-продажи товар надлежащего качества.</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br/>
              <w:t>В случае выявления недостатков в товаре потребитель вправе</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u w:val="single"/>
                <w:lang w:eastAsia="ru-RU"/>
              </w:rPr>
              <w:t>по своему выбору</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потребовать одно из требований, указанных в статье 20</w:t>
            </w:r>
            <w:r w:rsidRPr="0033272E">
              <w:rPr>
                <w:rFonts w:ascii="Arial" w:eastAsia="Times New Roman" w:hAnsi="Arial" w:cs="Arial"/>
                <w:color w:val="996600"/>
                <w:sz w:val="18"/>
                <w:lang w:eastAsia="ru-RU"/>
              </w:rPr>
              <w:t> </w:t>
            </w:r>
            <w:hyperlink r:id="rId9"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szCs w:val="18"/>
                <w:lang w:eastAsia="ru-RU"/>
              </w:rPr>
              <w:t>:</w:t>
            </w:r>
          </w:p>
          <w:p w:rsidR="0033272E" w:rsidRPr="0033272E" w:rsidRDefault="0033272E" w:rsidP="0033272E">
            <w:pPr>
              <w:numPr>
                <w:ilvl w:val="0"/>
                <w:numId w:val="1"/>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замена недоброкачественного товара товаром надлежащего качества;</w:t>
            </w:r>
          </w:p>
          <w:p w:rsidR="0033272E" w:rsidRPr="0033272E" w:rsidRDefault="0033272E" w:rsidP="0033272E">
            <w:pPr>
              <w:numPr>
                <w:ilvl w:val="0"/>
                <w:numId w:val="1"/>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соразмерное уменьшение покупной цены товара;</w:t>
            </w:r>
          </w:p>
          <w:p w:rsidR="0033272E" w:rsidRPr="0033272E" w:rsidRDefault="0033272E" w:rsidP="0033272E">
            <w:pPr>
              <w:numPr>
                <w:ilvl w:val="0"/>
                <w:numId w:val="1"/>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бесплатный ремонт;</w:t>
            </w:r>
          </w:p>
          <w:p w:rsidR="0033272E" w:rsidRPr="0033272E" w:rsidRDefault="0033272E" w:rsidP="0033272E">
            <w:pPr>
              <w:numPr>
                <w:ilvl w:val="0"/>
                <w:numId w:val="1"/>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возмещение расходов по ремонту;</w:t>
            </w:r>
          </w:p>
          <w:p w:rsidR="0033272E" w:rsidRPr="0033272E" w:rsidRDefault="0033272E" w:rsidP="0033272E">
            <w:pPr>
              <w:numPr>
                <w:ilvl w:val="0"/>
                <w:numId w:val="1"/>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возврат денег за некачественный товар.</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br/>
              <w:t>Вопрос:</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Кому потребитель имеет право предъявить требование о  возврате денег за некачественный товар?</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lastRenderedPageBreak/>
              <w:t>Ответ:</w:t>
            </w:r>
          </w:p>
          <w:p w:rsidR="0033272E" w:rsidRPr="0033272E" w:rsidRDefault="0033272E" w:rsidP="0033272E">
            <w:pPr>
              <w:spacing w:after="0"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Требования в отношении недостатков товара потребитель по своему усмотрению вправе предъявить в соответствии со статьей 21</w:t>
            </w:r>
            <w:r w:rsidRPr="0033272E">
              <w:rPr>
                <w:rFonts w:ascii="Arial" w:eastAsia="Times New Roman" w:hAnsi="Arial" w:cs="Arial"/>
                <w:color w:val="996600"/>
                <w:sz w:val="18"/>
                <w:lang w:eastAsia="ru-RU"/>
              </w:rPr>
              <w:t> </w:t>
            </w:r>
            <w:hyperlink r:id="rId10"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продавцу (изготовителю, поставщику, представителю).</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br/>
              <w:t>Ответственность за надлежащее качество товара (проявление в ходе эксплуатации скрытых недостатков) несет продавец (изготовителю, поставщику, представителю) в течение гарантийного срока на товар, а если он не установлен или составляет менее двух лет – в течение двух лет (статьи 20, 21</w:t>
            </w:r>
            <w:r w:rsidRPr="0033272E">
              <w:rPr>
                <w:rFonts w:ascii="Arial" w:eastAsia="Times New Roman" w:hAnsi="Arial" w:cs="Arial"/>
                <w:color w:val="996600"/>
                <w:sz w:val="18"/>
                <w:lang w:eastAsia="ru-RU"/>
              </w:rPr>
              <w:t> </w:t>
            </w:r>
            <w:hyperlink r:id="rId11"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Потребитель вправе в соответствии с пунктом 5 статьи 20 Закона предъявить</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u w:val="single"/>
                <w:lang w:eastAsia="ru-RU"/>
              </w:rPr>
              <w:t>изготовителю</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следующие требования:</w:t>
            </w:r>
          </w:p>
          <w:p w:rsidR="0033272E" w:rsidRPr="0033272E" w:rsidRDefault="0033272E" w:rsidP="0033272E">
            <w:pPr>
              <w:numPr>
                <w:ilvl w:val="0"/>
                <w:numId w:val="2"/>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замена недоброкачественного товара товаром надлежащего качества;</w:t>
            </w:r>
          </w:p>
          <w:p w:rsidR="0033272E" w:rsidRPr="0033272E" w:rsidRDefault="0033272E" w:rsidP="0033272E">
            <w:pPr>
              <w:numPr>
                <w:ilvl w:val="0"/>
                <w:numId w:val="2"/>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бесплатный ремонт;</w:t>
            </w:r>
          </w:p>
          <w:p w:rsidR="0033272E" w:rsidRPr="0033272E" w:rsidRDefault="0033272E" w:rsidP="0033272E">
            <w:pPr>
              <w:numPr>
                <w:ilvl w:val="0"/>
                <w:numId w:val="2"/>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возмещение расходов по ремонту;</w:t>
            </w:r>
          </w:p>
          <w:p w:rsidR="0033272E" w:rsidRPr="0033272E" w:rsidRDefault="0033272E" w:rsidP="0033272E">
            <w:pPr>
              <w:numPr>
                <w:ilvl w:val="0"/>
                <w:numId w:val="2"/>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возврата уплаченной за товар денежной суммы.</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Потребитель вправе предъявить требования указанные в п. 1 ст. 20</w:t>
            </w:r>
            <w:r w:rsidRPr="0033272E">
              <w:rPr>
                <w:rFonts w:ascii="Arial" w:eastAsia="Times New Roman" w:hAnsi="Arial" w:cs="Arial"/>
                <w:color w:val="996600"/>
                <w:sz w:val="18"/>
                <w:lang w:eastAsia="ru-RU"/>
              </w:rPr>
              <w:t> </w:t>
            </w:r>
            <w:hyperlink r:id="rId12"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szCs w:val="18"/>
                <w:lang w:eastAsia="ru-RU"/>
              </w:rPr>
              <w:t>, за исключением требования соразмерного уменьшения цены товара,</w:t>
            </w:r>
            <w:r w:rsidRPr="0033272E">
              <w:rPr>
                <w:rFonts w:ascii="Arial" w:eastAsia="Times New Roman" w:hAnsi="Arial" w:cs="Arial"/>
                <w:color w:val="996600"/>
                <w:sz w:val="18"/>
                <w:lang w:eastAsia="ru-RU"/>
              </w:rPr>
              <w:t> </w:t>
            </w:r>
            <w:r w:rsidRPr="0033272E">
              <w:rPr>
                <w:rFonts w:ascii="Arial" w:eastAsia="Times New Roman" w:hAnsi="Arial" w:cs="Arial"/>
                <w:b/>
                <w:bCs/>
                <w:color w:val="996600"/>
                <w:sz w:val="18"/>
                <w:szCs w:val="18"/>
                <w:u w:val="single"/>
                <w:lang w:eastAsia="ru-RU"/>
              </w:rPr>
              <w:t>поставщику, представителю</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в случае:</w:t>
            </w:r>
          </w:p>
          <w:p w:rsidR="0033272E" w:rsidRPr="0033272E" w:rsidRDefault="0033272E" w:rsidP="0033272E">
            <w:pPr>
              <w:numPr>
                <w:ilvl w:val="0"/>
                <w:numId w:val="3"/>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экономической несостоятельности (банкротства) продавца (изготовителя);</w:t>
            </w:r>
          </w:p>
          <w:p w:rsidR="0033272E" w:rsidRPr="0033272E" w:rsidRDefault="0033272E" w:rsidP="0033272E">
            <w:pPr>
              <w:numPr>
                <w:ilvl w:val="0"/>
                <w:numId w:val="3"/>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приостановления или прекращения его деятельности;</w:t>
            </w:r>
          </w:p>
          <w:p w:rsidR="0033272E" w:rsidRPr="0033272E" w:rsidRDefault="0033272E" w:rsidP="0033272E">
            <w:pPr>
              <w:numPr>
                <w:ilvl w:val="0"/>
                <w:numId w:val="3"/>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отсутствия у потребителя достоверных сведений о продавце (изготовителе);</w:t>
            </w:r>
          </w:p>
          <w:p w:rsidR="0033272E" w:rsidRPr="0033272E" w:rsidRDefault="0033272E" w:rsidP="0033272E">
            <w:pPr>
              <w:numPr>
                <w:ilvl w:val="0"/>
                <w:numId w:val="3"/>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место нахождения или место жительства изготовителя за пределами Республики Беларусь.</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(п. 6 ст. 20</w:t>
            </w:r>
            <w:r w:rsidRPr="0033272E">
              <w:rPr>
                <w:rFonts w:ascii="Arial" w:eastAsia="Times New Roman" w:hAnsi="Arial" w:cs="Arial"/>
                <w:color w:val="996600"/>
                <w:sz w:val="18"/>
                <w:lang w:eastAsia="ru-RU"/>
              </w:rPr>
              <w:t> </w:t>
            </w:r>
            <w:hyperlink r:id="rId13"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szCs w:val="18"/>
                <w:lang w:eastAsia="ru-RU"/>
              </w:rPr>
              <w:t>).</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br/>
              <w:t>Вопрос:</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 течение каких сроков должны быть удовлетворены требования потребителя о возврате денег за некачественный товар?</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t>Ответ:</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Обоснованные требования потребителя о расторжении договора розничной купли-продажи и возврате уплаченной за товар ненадлежащего качества денежной суммы подлежат удовлетворению продавцом незамедлительно. Максимальный срок не может превышать семи дней, а при необходимости проведения экспертизы – четырнадцати дней (статья 25</w:t>
            </w:r>
            <w:r w:rsidRPr="0033272E">
              <w:rPr>
                <w:rFonts w:ascii="Arial" w:eastAsia="Times New Roman" w:hAnsi="Arial" w:cs="Arial"/>
                <w:color w:val="996600"/>
                <w:sz w:val="18"/>
                <w:lang w:eastAsia="ru-RU"/>
              </w:rPr>
              <w:t> </w:t>
            </w:r>
            <w:hyperlink r:id="rId14"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szCs w:val="18"/>
                <w:lang w:eastAsia="ru-RU"/>
              </w:rPr>
              <w:t>).</w:t>
            </w:r>
            <w:r w:rsidRPr="0033272E">
              <w:rPr>
                <w:rFonts w:ascii="Arial" w:eastAsia="Times New Roman" w:hAnsi="Arial" w:cs="Arial"/>
                <w:color w:val="996600"/>
                <w:sz w:val="18"/>
                <w:szCs w:val="18"/>
                <w:lang w:eastAsia="ru-RU"/>
              </w:rPr>
              <w:br/>
              <w:t>В случае удовлетворения Ваших требований продавец не вправе удерживать сумму, на которую понизилась стоимость товара из-за использования товара, потери им товарного вида и других подобных обстоятельств. В соответствии с пунктом 4 статьи 27</w:t>
            </w:r>
            <w:r w:rsidRPr="0033272E">
              <w:rPr>
                <w:rFonts w:ascii="Arial" w:eastAsia="Times New Roman" w:hAnsi="Arial" w:cs="Arial"/>
                <w:color w:val="996600"/>
                <w:sz w:val="18"/>
                <w:lang w:eastAsia="ru-RU"/>
              </w:rPr>
              <w:t> </w:t>
            </w:r>
            <w:hyperlink r:id="rId15"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Вы вправе помимо уплаченной за товар денежной суммы потребовать возмещения разницы между ценой товара, установленной договором, и ценой соответствующего товара на момент удовлетворения Вашего требования. При этом потребитель по требованию и за счет продавца (изготовителя) должен возвратить полученный товар ненадлежащего качества. Потребитель вправе возвратить некачественный товар без потребительской тары (упаковки) (пункты 3 и 5 статьи 20</w:t>
            </w:r>
            <w:r w:rsidRPr="0033272E">
              <w:rPr>
                <w:rFonts w:ascii="Arial" w:eastAsia="Times New Roman" w:hAnsi="Arial" w:cs="Arial"/>
                <w:color w:val="996600"/>
                <w:sz w:val="18"/>
                <w:lang w:eastAsia="ru-RU"/>
              </w:rPr>
              <w:t> </w:t>
            </w:r>
            <w:hyperlink r:id="rId16" w:tgtFrame="_blank" w:history="1">
              <w:r w:rsidRPr="0033272E">
                <w:rPr>
                  <w:rFonts w:ascii="Arial" w:eastAsia="Times New Roman" w:hAnsi="Arial" w:cs="Arial"/>
                  <w:b/>
                  <w:bCs/>
                  <w:color w:val="CC9900"/>
                  <w:sz w:val="17"/>
                  <w:lang w:eastAsia="ru-RU"/>
                </w:rPr>
                <w:t>Закона</w:t>
              </w:r>
            </w:hyperlink>
            <w:r w:rsidRPr="0033272E">
              <w:rPr>
                <w:rFonts w:ascii="Arial" w:eastAsia="Times New Roman" w:hAnsi="Arial" w:cs="Arial"/>
                <w:color w:val="996600"/>
                <w:sz w:val="18"/>
                <w:szCs w:val="18"/>
                <w:lang w:eastAsia="ru-RU"/>
              </w:rPr>
              <w:t>).</w:t>
            </w:r>
            <w:r w:rsidRPr="0033272E">
              <w:rPr>
                <w:rFonts w:ascii="Arial" w:eastAsia="Times New Roman" w:hAnsi="Arial" w:cs="Arial"/>
                <w:color w:val="996600"/>
                <w:sz w:val="18"/>
                <w:szCs w:val="18"/>
                <w:lang w:eastAsia="ru-RU"/>
              </w:rPr>
              <w:br/>
              <w:t>Кроме того, в соответствии со статьей 5</w:t>
            </w:r>
            <w:r w:rsidRPr="0033272E">
              <w:rPr>
                <w:rFonts w:ascii="Arial" w:eastAsia="Times New Roman" w:hAnsi="Arial" w:cs="Arial"/>
                <w:color w:val="996600"/>
                <w:sz w:val="18"/>
                <w:lang w:eastAsia="ru-RU"/>
              </w:rPr>
              <w:t> </w:t>
            </w:r>
            <w:hyperlink r:id="rId17"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потребитель имеет право на возмещение в полном объеме убытков, вреда, причиненных вследствие недостатков товара. Согласно пункту 2 статьи 25</w:t>
            </w:r>
            <w:r w:rsidRPr="0033272E">
              <w:rPr>
                <w:rFonts w:ascii="Arial" w:eastAsia="Times New Roman" w:hAnsi="Arial" w:cs="Arial"/>
                <w:color w:val="996600"/>
                <w:sz w:val="18"/>
                <w:lang w:eastAsia="ru-RU"/>
              </w:rPr>
              <w:t> </w:t>
            </w:r>
            <w:hyperlink r:id="rId18"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требования о возмещении убытков подлежат удовлетворению продавцом в течение семи дней со дня подтверждения потребителем размера убытков.</w:t>
            </w:r>
            <w:r w:rsidRPr="0033272E">
              <w:rPr>
                <w:rFonts w:ascii="Arial" w:eastAsia="Times New Roman" w:hAnsi="Arial" w:cs="Arial"/>
                <w:color w:val="996600"/>
                <w:sz w:val="18"/>
                <w:szCs w:val="18"/>
                <w:lang w:eastAsia="ru-RU"/>
              </w:rPr>
              <w:br/>
              <w:t>В соответствии с пунктом 1 статьи 26</w:t>
            </w:r>
            <w:r w:rsidRPr="0033272E">
              <w:rPr>
                <w:rFonts w:ascii="Arial" w:eastAsia="Times New Roman" w:hAnsi="Arial" w:cs="Arial"/>
                <w:color w:val="996600"/>
                <w:sz w:val="18"/>
                <w:lang w:eastAsia="ru-RU"/>
              </w:rPr>
              <w:t> </w:t>
            </w:r>
            <w:hyperlink r:id="rId19"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за нарушение сроков удовлетворения обоснованных требований потребителей продавец, допустивший такие нарушения, уплачивает потребителю неустойку в размере одного процента цены товара за каждый день просрочки.</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br/>
              <w:t>Вопрос:</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 случае предъявления требования о возврате денежных средств за некачественный товар – каковы действия продавца (изготовителя, поставщика, представителя)?</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t>Ответ:</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Ненадлежащее качество товара не всегда является очевидным. В этой связи, в соответствии с пунктом 9 статьи 20</w:t>
            </w:r>
            <w:r w:rsidRPr="0033272E">
              <w:rPr>
                <w:rFonts w:ascii="Arial" w:eastAsia="Times New Roman" w:hAnsi="Arial" w:cs="Arial"/>
                <w:color w:val="996600"/>
                <w:sz w:val="18"/>
                <w:lang w:eastAsia="ru-RU"/>
              </w:rPr>
              <w:t> </w:t>
            </w:r>
            <w:proofErr w:type="spellStart"/>
            <w:r w:rsidRPr="0033272E">
              <w:rPr>
                <w:rFonts w:ascii="Arial" w:eastAsia="Times New Roman" w:hAnsi="Arial" w:cs="Arial"/>
                <w:color w:val="996600"/>
                <w:sz w:val="18"/>
                <w:szCs w:val="18"/>
                <w:lang w:eastAsia="ru-RU"/>
              </w:rPr>
              <w:fldChar w:fldCharType="begin"/>
            </w:r>
            <w:r w:rsidRPr="0033272E">
              <w:rPr>
                <w:rFonts w:ascii="Arial" w:eastAsia="Times New Roman" w:hAnsi="Arial" w:cs="Arial"/>
                <w:color w:val="996600"/>
                <w:sz w:val="18"/>
                <w:szCs w:val="18"/>
                <w:lang w:eastAsia="ru-RU"/>
              </w:rPr>
              <w:instrText xml:space="preserve"> HYPERLINK "http://pravo.by/webnpa/text.asp?RN=h10200090" \t "_blank" </w:instrText>
            </w:r>
            <w:r w:rsidRPr="0033272E">
              <w:rPr>
                <w:rFonts w:ascii="Arial" w:eastAsia="Times New Roman" w:hAnsi="Arial" w:cs="Arial"/>
                <w:color w:val="996600"/>
                <w:sz w:val="18"/>
                <w:szCs w:val="18"/>
                <w:lang w:eastAsia="ru-RU"/>
              </w:rPr>
              <w:fldChar w:fldCharType="separate"/>
            </w:r>
            <w:r w:rsidRPr="0033272E">
              <w:rPr>
                <w:rFonts w:ascii="Arial" w:eastAsia="Times New Roman" w:hAnsi="Arial" w:cs="Arial"/>
                <w:b/>
                <w:bCs/>
                <w:color w:val="CC9900"/>
                <w:sz w:val="17"/>
                <w:lang w:eastAsia="ru-RU"/>
              </w:rPr>
              <w:t>Закона</w:t>
            </w:r>
            <w:r w:rsidRPr="0033272E">
              <w:rPr>
                <w:rFonts w:ascii="Arial" w:eastAsia="Times New Roman" w:hAnsi="Arial" w:cs="Arial"/>
                <w:color w:val="996600"/>
                <w:sz w:val="18"/>
                <w:szCs w:val="18"/>
                <w:lang w:eastAsia="ru-RU"/>
              </w:rPr>
              <w:fldChar w:fldCharType="end"/>
            </w:r>
            <w:r w:rsidRPr="0033272E">
              <w:rPr>
                <w:rFonts w:ascii="Arial" w:eastAsia="Times New Roman" w:hAnsi="Arial" w:cs="Arial"/>
                <w:color w:val="996600"/>
                <w:sz w:val="18"/>
                <w:szCs w:val="18"/>
                <w:lang w:eastAsia="ru-RU"/>
              </w:rPr>
              <w:t>продавцу</w:t>
            </w:r>
            <w:proofErr w:type="spellEnd"/>
            <w:r w:rsidRPr="0033272E">
              <w:rPr>
                <w:rFonts w:ascii="Arial" w:eastAsia="Times New Roman" w:hAnsi="Arial" w:cs="Arial"/>
                <w:color w:val="996600"/>
                <w:sz w:val="18"/>
                <w:szCs w:val="18"/>
                <w:lang w:eastAsia="ru-RU"/>
              </w:rPr>
              <w:t xml:space="preserve"> предоставлено право при предъявлении требований потребителем по вопросу продажи ему товара ненадлежащего качества провести проверку качества товара в сроки, установленные законодательством для удовлетворения требования потребителя (например, при выдвижении требования о возврате денежных средств – в течение 7 дней). При возникновении спора о наличии и причинах недостатков товара продавец обязан провести </w:t>
            </w:r>
            <w:r w:rsidRPr="0033272E">
              <w:rPr>
                <w:rFonts w:ascii="Arial" w:eastAsia="Times New Roman" w:hAnsi="Arial" w:cs="Arial"/>
                <w:color w:val="996600"/>
                <w:sz w:val="18"/>
                <w:szCs w:val="18"/>
                <w:lang w:eastAsia="ru-RU"/>
              </w:rPr>
              <w:lastRenderedPageBreak/>
              <w:t>независимую экспертизу качества товара за свой счет. О месте и времени проведения экспертизы потребитель должен быть извещен в письменной форме. Потребитель вправе принять участие в проверке качества и проведении экспертизы товара лично или через своего представителя. Вместе с тем, законодательством предусмотрено право потребителя на проведения экспертизы самостоятельно (в этом случае продавец (изготовитель) должен быть извещен о таком решении потребителя).</w:t>
            </w:r>
            <w:r w:rsidRPr="0033272E">
              <w:rPr>
                <w:rFonts w:ascii="Arial" w:eastAsia="Times New Roman" w:hAnsi="Arial" w:cs="Arial"/>
                <w:color w:val="996600"/>
                <w:sz w:val="18"/>
                <w:szCs w:val="18"/>
                <w:lang w:eastAsia="ru-RU"/>
              </w:rPr>
              <w:br/>
              <w:t>Если в результате экспертизы товара будет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потребитель обязан возместить продавцу расходы на проведение экспертизы.</w:t>
            </w:r>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br/>
              <w:t>Вместе с тем, согласно пункту 9 статьи 20</w:t>
            </w:r>
            <w:r w:rsidRPr="0033272E">
              <w:rPr>
                <w:rFonts w:ascii="Arial" w:eastAsia="Times New Roman" w:hAnsi="Arial" w:cs="Arial"/>
                <w:color w:val="996600"/>
                <w:sz w:val="18"/>
                <w:lang w:eastAsia="ru-RU"/>
              </w:rPr>
              <w:t> </w:t>
            </w:r>
            <w:hyperlink r:id="rId20"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в случае несогласия с выводами экспертизы потребитель вправе оспорить такое заключение в судебном порядке.</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br/>
              <w:t>Вопрос:</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Куда может обратиться потребитель за защитой своих прав?</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b/>
                <w:bCs/>
                <w:color w:val="996600"/>
                <w:sz w:val="18"/>
                <w:szCs w:val="18"/>
                <w:lang w:eastAsia="ru-RU"/>
              </w:rPr>
              <w:t>Ответ:</w:t>
            </w:r>
          </w:p>
          <w:p w:rsidR="0033272E" w:rsidRPr="0033272E" w:rsidRDefault="0033272E" w:rsidP="0033272E">
            <w:pPr>
              <w:spacing w:before="100" w:beforeAutospacing="1" w:after="100" w:afterAutospacing="1" w:line="240" w:lineRule="auto"/>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Для защиты своих интересов потребитель может обратиться:</w:t>
            </w:r>
          </w:p>
          <w:p w:rsidR="0033272E" w:rsidRPr="0033272E" w:rsidRDefault="0033272E" w:rsidP="0033272E">
            <w:pPr>
              <w:numPr>
                <w:ilvl w:val="0"/>
                <w:numId w:val="4"/>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 местные исполнительные и распорядительные органы, которые в соответствии со статьей 43</w:t>
            </w:r>
            <w:r w:rsidRPr="0033272E">
              <w:rPr>
                <w:rFonts w:ascii="Arial" w:eastAsia="Times New Roman" w:hAnsi="Arial" w:cs="Arial"/>
                <w:color w:val="996600"/>
                <w:sz w:val="18"/>
                <w:lang w:eastAsia="ru-RU"/>
              </w:rPr>
              <w:t> </w:t>
            </w:r>
            <w:hyperlink r:id="rId21" w:tgtFrame="_blank" w:history="1">
              <w:r w:rsidRPr="0033272E">
                <w:rPr>
                  <w:rFonts w:ascii="Arial" w:eastAsia="Times New Roman" w:hAnsi="Arial" w:cs="Arial"/>
                  <w:b/>
                  <w:bCs/>
                  <w:color w:val="CC9900"/>
                  <w:sz w:val="17"/>
                  <w:lang w:eastAsia="ru-RU"/>
                </w:rPr>
                <w:t>Закона </w:t>
              </w:r>
            </w:hyperlink>
            <w:r w:rsidRPr="0033272E">
              <w:rPr>
                <w:rFonts w:ascii="Arial" w:eastAsia="Times New Roman" w:hAnsi="Arial" w:cs="Arial"/>
                <w:color w:val="996600"/>
                <w:sz w:val="18"/>
                <w:szCs w:val="18"/>
                <w:lang w:eastAsia="ru-RU"/>
              </w:rPr>
              <w:t>обязаны обращаться в суд с иском о защите прав потребителя;</w:t>
            </w:r>
          </w:p>
          <w:p w:rsidR="0033272E" w:rsidRPr="0033272E" w:rsidRDefault="0033272E" w:rsidP="0033272E">
            <w:pPr>
              <w:numPr>
                <w:ilvl w:val="0"/>
                <w:numId w:val="4"/>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в общественные объединения потребителей;</w:t>
            </w:r>
          </w:p>
          <w:p w:rsidR="0033272E" w:rsidRPr="0033272E" w:rsidRDefault="0033272E" w:rsidP="0033272E">
            <w:pPr>
              <w:numPr>
                <w:ilvl w:val="0"/>
                <w:numId w:val="4"/>
              </w:numPr>
              <w:spacing w:before="100" w:beforeAutospacing="1" w:after="100" w:afterAutospacing="1" w:line="225" w:lineRule="atLeast"/>
              <w:ind w:left="30" w:right="30"/>
              <w:rPr>
                <w:rFonts w:ascii="Arial" w:eastAsia="Times New Roman" w:hAnsi="Arial" w:cs="Arial"/>
                <w:color w:val="996600"/>
                <w:sz w:val="18"/>
                <w:szCs w:val="18"/>
                <w:lang w:eastAsia="ru-RU"/>
              </w:rPr>
            </w:pPr>
            <w:r w:rsidRPr="0033272E">
              <w:rPr>
                <w:rFonts w:ascii="Arial" w:eastAsia="Times New Roman" w:hAnsi="Arial" w:cs="Arial"/>
                <w:color w:val="996600"/>
                <w:sz w:val="18"/>
                <w:szCs w:val="18"/>
                <w:lang w:eastAsia="ru-RU"/>
              </w:rPr>
              <w:t>с</w:t>
            </w:r>
            <w:r w:rsidRPr="0033272E">
              <w:rPr>
                <w:rFonts w:ascii="Arial" w:eastAsia="Times New Roman" w:hAnsi="Arial" w:cs="Arial"/>
                <w:color w:val="996600"/>
                <w:sz w:val="18"/>
                <w:lang w:eastAsia="ru-RU"/>
              </w:rPr>
              <w:t> </w:t>
            </w:r>
            <w:hyperlink r:id="rId22" w:tgtFrame="_blank" w:history="1">
              <w:r w:rsidRPr="0033272E">
                <w:rPr>
                  <w:rFonts w:ascii="Arial" w:eastAsia="Times New Roman" w:hAnsi="Arial" w:cs="Arial"/>
                  <w:b/>
                  <w:bCs/>
                  <w:color w:val="CC9900"/>
                  <w:sz w:val="17"/>
                  <w:lang w:eastAsia="ru-RU"/>
                </w:rPr>
                <w:t>иском о защите своих прав</w:t>
              </w:r>
            </w:hyperlink>
            <w:r w:rsidRPr="0033272E">
              <w:rPr>
                <w:rFonts w:ascii="Arial" w:eastAsia="Times New Roman" w:hAnsi="Arial" w:cs="Arial"/>
                <w:color w:val="996600"/>
                <w:sz w:val="18"/>
                <w:lang w:eastAsia="ru-RU"/>
              </w:rPr>
              <w:t> </w:t>
            </w:r>
            <w:r w:rsidRPr="0033272E">
              <w:rPr>
                <w:rFonts w:ascii="Arial" w:eastAsia="Times New Roman" w:hAnsi="Arial" w:cs="Arial"/>
                <w:color w:val="996600"/>
                <w:sz w:val="18"/>
                <w:szCs w:val="18"/>
                <w:lang w:eastAsia="ru-RU"/>
              </w:rPr>
              <w:t>в суд. В соответствии со статьей 257 Налогового кодекса Республики Беларусь (Особенная часть) потребители освобождаются от уплаты государственной пошлины по искам, связанным с нарушением их прав, предусмотренных законодательством о защите прав потребителей.</w:t>
            </w:r>
          </w:p>
        </w:tc>
      </w:tr>
    </w:tbl>
    <w:p w:rsidR="001A789C" w:rsidRDefault="00C42FBC">
      <w:hyperlink r:id="rId23" w:history="1">
        <w:r w:rsidR="0033272E" w:rsidRPr="00C732B5">
          <w:rPr>
            <w:rStyle w:val="a3"/>
          </w:rPr>
          <w:t>http://www.mintorg.gov.by</w:t>
        </w:r>
      </w:hyperlink>
    </w:p>
    <w:p w:rsidR="0033272E" w:rsidRDefault="0033272E"/>
    <w:sectPr w:rsidR="0033272E" w:rsidSect="0033272E">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1F2"/>
    <w:multiLevelType w:val="multilevel"/>
    <w:tmpl w:val="C61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06B67"/>
    <w:multiLevelType w:val="multilevel"/>
    <w:tmpl w:val="44F6E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74711C"/>
    <w:multiLevelType w:val="multilevel"/>
    <w:tmpl w:val="091E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8C7C4C"/>
    <w:multiLevelType w:val="multilevel"/>
    <w:tmpl w:val="8368B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72E"/>
    <w:rsid w:val="001A789C"/>
    <w:rsid w:val="001D0562"/>
    <w:rsid w:val="002D25A4"/>
    <w:rsid w:val="002E3E94"/>
    <w:rsid w:val="00325ECC"/>
    <w:rsid w:val="0033272E"/>
    <w:rsid w:val="00385D2D"/>
    <w:rsid w:val="00711239"/>
    <w:rsid w:val="00B05BCC"/>
    <w:rsid w:val="00B2381E"/>
    <w:rsid w:val="00C42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78252-FF1D-4090-A3C8-E5630CE3B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789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272E"/>
    <w:rPr>
      <w:color w:val="0000FF"/>
      <w:u w:val="single"/>
    </w:rPr>
  </w:style>
  <w:style w:type="paragraph" w:styleId="a4">
    <w:name w:val="Normal (Web)"/>
    <w:basedOn w:val="a"/>
    <w:uiPriority w:val="99"/>
    <w:unhideWhenUsed/>
    <w:rsid w:val="003327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3272E"/>
  </w:style>
  <w:style w:type="paragraph" w:styleId="a5">
    <w:name w:val="Balloon Text"/>
    <w:basedOn w:val="a"/>
    <w:link w:val="a6"/>
    <w:uiPriority w:val="99"/>
    <w:semiHidden/>
    <w:unhideWhenUsed/>
    <w:rsid w:val="003327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327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084615">
      <w:bodyDiv w:val="1"/>
      <w:marLeft w:val="0"/>
      <w:marRight w:val="0"/>
      <w:marTop w:val="0"/>
      <w:marBottom w:val="0"/>
      <w:divBdr>
        <w:top w:val="none" w:sz="0" w:space="0" w:color="auto"/>
        <w:left w:val="none" w:sz="0" w:space="0" w:color="auto"/>
        <w:bottom w:val="none" w:sz="0" w:space="0" w:color="auto"/>
        <w:right w:val="none" w:sz="0" w:space="0" w:color="auto"/>
      </w:divBdr>
      <w:divsChild>
        <w:div w:id="439494729">
          <w:marLeft w:val="0"/>
          <w:marRight w:val="0"/>
          <w:marTop w:val="0"/>
          <w:marBottom w:val="0"/>
          <w:divBdr>
            <w:top w:val="none" w:sz="0" w:space="0" w:color="auto"/>
            <w:left w:val="none" w:sz="0" w:space="0" w:color="auto"/>
            <w:bottom w:val="none" w:sz="0" w:space="0" w:color="auto"/>
            <w:right w:val="none" w:sz="0" w:space="0" w:color="auto"/>
          </w:divBdr>
        </w:div>
        <w:div w:id="2089694040">
          <w:marLeft w:val="0"/>
          <w:marRight w:val="0"/>
          <w:marTop w:val="0"/>
          <w:marBottom w:val="0"/>
          <w:divBdr>
            <w:top w:val="none" w:sz="0" w:space="0" w:color="auto"/>
            <w:left w:val="none" w:sz="0" w:space="0" w:color="auto"/>
            <w:bottom w:val="none" w:sz="0" w:space="0" w:color="auto"/>
            <w:right w:val="none" w:sz="0" w:space="0" w:color="auto"/>
          </w:divBdr>
        </w:div>
        <w:div w:id="1190071527">
          <w:marLeft w:val="0"/>
          <w:marRight w:val="0"/>
          <w:marTop w:val="0"/>
          <w:marBottom w:val="0"/>
          <w:divBdr>
            <w:top w:val="none" w:sz="0" w:space="0" w:color="auto"/>
            <w:left w:val="none" w:sz="0" w:space="0" w:color="auto"/>
            <w:bottom w:val="none" w:sz="0" w:space="0" w:color="auto"/>
            <w:right w:val="none" w:sz="0" w:space="0" w:color="auto"/>
          </w:divBdr>
        </w:div>
        <w:div w:id="314340432">
          <w:marLeft w:val="0"/>
          <w:marRight w:val="0"/>
          <w:marTop w:val="0"/>
          <w:marBottom w:val="0"/>
          <w:divBdr>
            <w:top w:val="none" w:sz="0" w:space="0" w:color="auto"/>
            <w:left w:val="none" w:sz="0" w:space="0" w:color="auto"/>
            <w:bottom w:val="none" w:sz="0" w:space="0" w:color="auto"/>
            <w:right w:val="none" w:sz="0" w:space="0" w:color="auto"/>
          </w:divBdr>
        </w:div>
        <w:div w:id="1207377008">
          <w:marLeft w:val="0"/>
          <w:marRight w:val="0"/>
          <w:marTop w:val="0"/>
          <w:marBottom w:val="0"/>
          <w:divBdr>
            <w:top w:val="none" w:sz="0" w:space="0" w:color="auto"/>
            <w:left w:val="none" w:sz="0" w:space="0" w:color="auto"/>
            <w:bottom w:val="none" w:sz="0" w:space="0" w:color="auto"/>
            <w:right w:val="none" w:sz="0" w:space="0" w:color="auto"/>
          </w:divBdr>
        </w:div>
        <w:div w:id="2034570205">
          <w:marLeft w:val="0"/>
          <w:marRight w:val="0"/>
          <w:marTop w:val="0"/>
          <w:marBottom w:val="0"/>
          <w:divBdr>
            <w:top w:val="none" w:sz="0" w:space="0" w:color="auto"/>
            <w:left w:val="none" w:sz="0" w:space="0" w:color="auto"/>
            <w:bottom w:val="none" w:sz="0" w:space="0" w:color="auto"/>
            <w:right w:val="none" w:sz="0" w:space="0" w:color="auto"/>
          </w:divBdr>
        </w:div>
        <w:div w:id="146485112">
          <w:marLeft w:val="0"/>
          <w:marRight w:val="0"/>
          <w:marTop w:val="0"/>
          <w:marBottom w:val="0"/>
          <w:divBdr>
            <w:top w:val="none" w:sz="0" w:space="0" w:color="auto"/>
            <w:left w:val="none" w:sz="0" w:space="0" w:color="auto"/>
            <w:bottom w:val="none" w:sz="0" w:space="0" w:color="auto"/>
            <w:right w:val="none" w:sz="0" w:space="0" w:color="auto"/>
          </w:divBdr>
        </w:div>
        <w:div w:id="740098717">
          <w:marLeft w:val="0"/>
          <w:marRight w:val="0"/>
          <w:marTop w:val="0"/>
          <w:marBottom w:val="0"/>
          <w:divBdr>
            <w:top w:val="none" w:sz="0" w:space="0" w:color="auto"/>
            <w:left w:val="none" w:sz="0" w:space="0" w:color="auto"/>
            <w:bottom w:val="none" w:sz="0" w:space="0" w:color="auto"/>
            <w:right w:val="none" w:sz="0" w:space="0" w:color="auto"/>
          </w:divBdr>
        </w:div>
        <w:div w:id="935332058">
          <w:marLeft w:val="0"/>
          <w:marRight w:val="0"/>
          <w:marTop w:val="0"/>
          <w:marBottom w:val="0"/>
          <w:divBdr>
            <w:top w:val="none" w:sz="0" w:space="0" w:color="auto"/>
            <w:left w:val="none" w:sz="0" w:space="0" w:color="auto"/>
            <w:bottom w:val="none" w:sz="0" w:space="0" w:color="auto"/>
            <w:right w:val="none" w:sz="0" w:space="0" w:color="auto"/>
          </w:divBdr>
        </w:div>
        <w:div w:id="563175652">
          <w:marLeft w:val="0"/>
          <w:marRight w:val="0"/>
          <w:marTop w:val="0"/>
          <w:marBottom w:val="0"/>
          <w:divBdr>
            <w:top w:val="none" w:sz="0" w:space="0" w:color="auto"/>
            <w:left w:val="none" w:sz="0" w:space="0" w:color="auto"/>
            <w:bottom w:val="none" w:sz="0" w:space="0" w:color="auto"/>
            <w:right w:val="none" w:sz="0" w:space="0" w:color="auto"/>
          </w:divBdr>
        </w:div>
        <w:div w:id="1501461850">
          <w:marLeft w:val="0"/>
          <w:marRight w:val="0"/>
          <w:marTop w:val="0"/>
          <w:marBottom w:val="0"/>
          <w:divBdr>
            <w:top w:val="none" w:sz="0" w:space="0" w:color="auto"/>
            <w:left w:val="none" w:sz="0" w:space="0" w:color="auto"/>
            <w:bottom w:val="none" w:sz="0" w:space="0" w:color="auto"/>
            <w:right w:val="none" w:sz="0" w:space="0" w:color="auto"/>
          </w:divBdr>
        </w:div>
        <w:div w:id="461772639">
          <w:marLeft w:val="0"/>
          <w:marRight w:val="0"/>
          <w:marTop w:val="0"/>
          <w:marBottom w:val="0"/>
          <w:divBdr>
            <w:top w:val="none" w:sz="0" w:space="0" w:color="auto"/>
            <w:left w:val="none" w:sz="0" w:space="0" w:color="auto"/>
            <w:bottom w:val="none" w:sz="0" w:space="0" w:color="auto"/>
            <w:right w:val="none" w:sz="0" w:space="0" w:color="auto"/>
          </w:divBdr>
        </w:div>
        <w:div w:id="482739898">
          <w:marLeft w:val="0"/>
          <w:marRight w:val="0"/>
          <w:marTop w:val="0"/>
          <w:marBottom w:val="0"/>
          <w:divBdr>
            <w:top w:val="none" w:sz="0" w:space="0" w:color="auto"/>
            <w:left w:val="none" w:sz="0" w:space="0" w:color="auto"/>
            <w:bottom w:val="none" w:sz="0" w:space="0" w:color="auto"/>
            <w:right w:val="none" w:sz="0" w:space="0" w:color="auto"/>
          </w:divBdr>
        </w:div>
        <w:div w:id="328412188">
          <w:marLeft w:val="0"/>
          <w:marRight w:val="0"/>
          <w:marTop w:val="0"/>
          <w:marBottom w:val="0"/>
          <w:divBdr>
            <w:top w:val="none" w:sz="0" w:space="0" w:color="auto"/>
            <w:left w:val="none" w:sz="0" w:space="0" w:color="auto"/>
            <w:bottom w:val="none" w:sz="0" w:space="0" w:color="auto"/>
            <w:right w:val="none" w:sz="0" w:space="0" w:color="auto"/>
          </w:divBdr>
        </w:div>
        <w:div w:id="894511479">
          <w:marLeft w:val="0"/>
          <w:marRight w:val="0"/>
          <w:marTop w:val="0"/>
          <w:marBottom w:val="0"/>
          <w:divBdr>
            <w:top w:val="none" w:sz="0" w:space="0" w:color="auto"/>
            <w:left w:val="none" w:sz="0" w:space="0" w:color="auto"/>
            <w:bottom w:val="none" w:sz="0" w:space="0" w:color="auto"/>
            <w:right w:val="none" w:sz="0" w:space="0" w:color="auto"/>
          </w:divBdr>
        </w:div>
        <w:div w:id="1553493337">
          <w:marLeft w:val="0"/>
          <w:marRight w:val="0"/>
          <w:marTop w:val="0"/>
          <w:marBottom w:val="0"/>
          <w:divBdr>
            <w:top w:val="none" w:sz="0" w:space="0" w:color="auto"/>
            <w:left w:val="none" w:sz="0" w:space="0" w:color="auto"/>
            <w:bottom w:val="none" w:sz="0" w:space="0" w:color="auto"/>
            <w:right w:val="none" w:sz="0" w:space="0" w:color="auto"/>
          </w:divBdr>
        </w:div>
        <w:div w:id="191189449">
          <w:marLeft w:val="0"/>
          <w:marRight w:val="0"/>
          <w:marTop w:val="0"/>
          <w:marBottom w:val="0"/>
          <w:divBdr>
            <w:top w:val="none" w:sz="0" w:space="0" w:color="auto"/>
            <w:left w:val="none" w:sz="0" w:space="0" w:color="auto"/>
            <w:bottom w:val="none" w:sz="0" w:space="0" w:color="auto"/>
            <w:right w:val="none" w:sz="0" w:space="0" w:color="auto"/>
          </w:divBdr>
        </w:div>
      </w:divsChild>
    </w:div>
    <w:div w:id="193620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by/webnpa/text.asp?RN=h10200090" TargetMode="External"/><Relationship Id="rId13" Type="http://schemas.openxmlformats.org/officeDocument/2006/relationships/hyperlink" Target="http://pravo.by/webnpa/text.asp?RN=h10200090" TargetMode="External"/><Relationship Id="rId18" Type="http://schemas.openxmlformats.org/officeDocument/2006/relationships/hyperlink" Target="http://pravo.by/webnpa/text.asp?RN=h10200090" TargetMode="External"/><Relationship Id="rId3" Type="http://schemas.openxmlformats.org/officeDocument/2006/relationships/settings" Target="settings.xml"/><Relationship Id="rId21" Type="http://schemas.openxmlformats.org/officeDocument/2006/relationships/hyperlink" Target="http://pravo.by/webnpa/text.asp?RN=h10200090" TargetMode="External"/><Relationship Id="rId7" Type="http://schemas.openxmlformats.org/officeDocument/2006/relationships/hyperlink" Target="http://www.mintorg.gov.by/index2.php?option=com_content&amp;task=view&amp;id=1041&amp;pop=1&amp;page=0" TargetMode="External"/><Relationship Id="rId12" Type="http://schemas.openxmlformats.org/officeDocument/2006/relationships/hyperlink" Target="http://pravo.by/webnpa/text.asp?RN=h10200090" TargetMode="External"/><Relationship Id="rId17" Type="http://schemas.openxmlformats.org/officeDocument/2006/relationships/hyperlink" Target="http://pravo.by/webnpa/text.asp?RN=h10200090"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pravo.by/webnpa/text.asp?RN=h10200090" TargetMode="External"/><Relationship Id="rId20" Type="http://schemas.openxmlformats.org/officeDocument/2006/relationships/hyperlink" Target="http://pravo.by/webnpa/text.asp?RN=h1020009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pravo.by/webnpa/text.asp?RN=h10200090" TargetMode="External"/><Relationship Id="rId24" Type="http://schemas.openxmlformats.org/officeDocument/2006/relationships/fontTable" Target="fontTable.xml"/><Relationship Id="rId5" Type="http://schemas.openxmlformats.org/officeDocument/2006/relationships/hyperlink" Target="http://www.mintorg.gov.by/index2.php?option=com_content&amp;task=view&amp;id=2060&amp;pop=1&amp;page=0&amp;Itemid=30" TargetMode="External"/><Relationship Id="rId15" Type="http://schemas.openxmlformats.org/officeDocument/2006/relationships/hyperlink" Target="http://pravo.by/webnpa/text.asp?RN=h10200090" TargetMode="External"/><Relationship Id="rId23" Type="http://schemas.openxmlformats.org/officeDocument/2006/relationships/hyperlink" Target="http://www.mintorg.gov.by" TargetMode="External"/><Relationship Id="rId10" Type="http://schemas.openxmlformats.org/officeDocument/2006/relationships/hyperlink" Target="http://pravo.by/webnpa/text.asp?RN=h10200090" TargetMode="External"/><Relationship Id="rId19" Type="http://schemas.openxmlformats.org/officeDocument/2006/relationships/hyperlink" Target="http://pravo.by/webnpa/text.asp?RN=h10200090" TargetMode="External"/><Relationship Id="rId4" Type="http://schemas.openxmlformats.org/officeDocument/2006/relationships/webSettings" Target="webSettings.xml"/><Relationship Id="rId9" Type="http://schemas.openxmlformats.org/officeDocument/2006/relationships/hyperlink" Target="http://pravo.by/webnpa/text.asp?RN=h10200090" TargetMode="External"/><Relationship Id="rId14" Type="http://schemas.openxmlformats.org/officeDocument/2006/relationships/hyperlink" Target="http://pravo.by/webnpa/text.asp?RN=h10200090" TargetMode="External"/><Relationship Id="rId22" Type="http://schemas.openxmlformats.org/officeDocument/2006/relationships/hyperlink" Target="http://www.mintorg.gov.by/media/protect/explanations/application%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1502</Words>
  <Characters>8562</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2018-05-03T10:39:00Z</dcterms:created>
  <dcterms:modified xsi:type="dcterms:W3CDTF">2018-05-03T10:39:00Z</dcterms:modified>
</cp:coreProperties>
</file>